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生成词库理论与汉语事件强迫现象研究</w:t>
      </w:r>
    </w:p>
    <w:p>
      <w:r>
        <w:rPr>
          <w:rFonts w:ascii="宋体" w:hAnsi="宋体" w:eastAsia="宋体"/>
          <w:sz w:val="24"/>
        </w:rPr>
        <w:t>宋作艳著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生成词库理论与汉语事件强迫现象研究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宋作艳著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本书出售、求购地址：https://www.jiaokey.com/book/detail/13735825.html</w:t>
      </w:r>
    </w:p>
    <w:p>
      <w:r>
        <w:t>更多相关图书推荐：https://www.jiaokey.com</w:t>
      </w:r>
    </w:p>
    <w:p>
      <w:r>
        <w:t>宋作艳著 其他作品：https://www.jiaokey.com/tag/宋作艳著.html</w:t>
      </w:r>
    </w:p>
    <w:p>
      <w:r>
        <w:t>关键词搜索：https://www.jiaokey.com/tag/生成词库理论与汉语事件强迫现象研究.html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