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面向新世纪的特色农业</w:t>
      </w:r>
    </w:p>
    <w:p>
      <w:r>
        <w:rPr>
          <w:rFonts w:ascii="宋体" w:hAnsi="宋体" w:eastAsia="宋体"/>
          <w:sz w:val="24"/>
        </w:rPr>
        <w:t>谭徽在主编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面向新世纪的特色农业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谭徽在主编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宜都市新华印务有限公司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本书出售、求购地址：https://www.jiaokey.com/book/detail/13735178.html</w:t>
      </w:r>
    </w:p>
    <w:p>
      <w:r>
        <w:t>更多相关图书推荐：https://www.jiaokey.com</w:t>
      </w:r>
    </w:p>
    <w:p>
      <w:r>
        <w:t>谭徽在主编 其他作品：https://www.jiaokey.com/tag/谭徽在主编.html</w:t>
      </w:r>
    </w:p>
    <w:p>
      <w:r>
        <w:t>宜都市新华印务有限公司 出版图书：https://www.jiaokey.com/tag/宜都市新华印务有限公司.html</w:t>
      </w:r>
    </w:p>
    <w:p>
      <w:r>
        <w:t>关键词搜索：https://www.jiaokey.com/tag/面向新世纪的特色农业.html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