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宜昌房改</w:t>
      </w:r>
    </w:p>
    <w:p>
      <w:r>
        <w:rPr>
          <w:rFonts w:ascii="宋体" w:hAnsi="宋体" w:eastAsia="宋体"/>
          <w:sz w:val="24"/>
        </w:rPr>
        <w:t>李先帅主编；宜昌县住房制度改革办公室编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宜昌房改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李先帅主编；宜昌县住房制度改革办公室编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湖北省宜昌县税务印刷厂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本书出售、求购地址：https://www.jiaokey.com/book/detail/13732030.html</w:t>
      </w:r>
    </w:p>
    <w:p>
      <w:r>
        <w:t>更多相关图书推荐：https://www.jiaokey.com</w:t>
      </w:r>
    </w:p>
    <w:p>
      <w:r>
        <w:t>李先帅主编；宜昌县住房制度改革办公室编 其他作品：https://www.jiaokey.com/tag/李先帅主编；宜昌县住房制度改革办公室编.html</w:t>
      </w:r>
    </w:p>
    <w:p>
      <w:r>
        <w:t>湖北省宜昌县税务印刷厂 出版图书：https://www.jiaokey.com/tag/湖北省宜昌县税务印刷厂.html</w:t>
      </w:r>
    </w:p>
    <w:p>
      <w:r>
        <w:t>关键词搜索：https://www.jiaokey.com/tag/宜昌房改.html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