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米国特许入门  海外进出企业必携</w:t>
      </w:r>
    </w:p>
    <w:p>
      <w:r>
        <w:rPr>
          <w:rFonts w:ascii="宋体" w:hAnsi="宋体" w:eastAsia="宋体"/>
          <w:sz w:val="24"/>
        </w:rPr>
        <w:t>米国特许商标厅编；米国特许研究会解说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米国特许入门  海外进出企业必携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米国特许商标厅编；米国特许研究会解说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日刊工业新闻社,昭和56.11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本书出售、求购地址：https://www.jiaokey.com/book/detail/13731475.html</w:t>
      </w:r>
    </w:p>
    <w:p>
      <w:r>
        <w:t>更多相关图书推荐：https://www.jiaokey.com</w:t>
      </w:r>
    </w:p>
    <w:p>
      <w:r>
        <w:t>米国特许商标厅编；米国特许研究会解说 其他作品：https://www.jiaokey.com/tag/米国特许商标厅编；米国特许研究会解说.html</w:t>
      </w:r>
    </w:p>
    <w:p>
      <w:r>
        <w:t>日刊工业新闻社,昭和56.11 出版图书：https://www.jiaokey.com/tag/日刊工业新闻社,昭和56.11.html</w:t>
      </w:r>
    </w:p>
    <w:p>
      <w:r>
        <w:t>关键词搜索：https://www.jiaokey.com/tag/米国特许入门  海外进出企业必携.html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