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原乡、居地与天家  外省第一代的流亡经济与改宗历程</w:t>
      </w:r>
    </w:p>
    <w:p>
      <w:r>
        <w:rPr>
          <w:rFonts w:ascii="宋体" w:hAnsi="宋体" w:eastAsia="宋体"/>
          <w:sz w:val="24"/>
        </w:rPr>
        <w:t>黄克先著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原乡、居地与天家  外省第一代的流亡经济与改宗历程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本书出售、求购地址：https://www.jiaokey.com/book/detail/13731269.html</w:t>
      </w:r>
    </w:p>
    <w:p>
      <w:r>
        <w:t>更多相关图书推荐：https://www.jiaokey.com</w:t>
      </w:r>
    </w:p>
    <w:p>
      <w:r>
        <w:t>黄克先著 其他作品：https://www.jiaokey.com/tag/黄克先著.html</w:t>
      </w:r>
    </w:p>
    <w:p>
      <w:r>
        <w:t>稻乡出版社 出版图书：https://www.jiaokey.com/tag/稻乡出版社.html</w:t>
      </w:r>
    </w:p>
    <w:p>
      <w:r>
        <w:t>关键词搜索：https://www.jiaokey.com/tag/原乡、居地与天家  外省第一代的流亡经济与改宗历程.html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