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备急千金要方校释</w:t>
      </w:r>
    </w:p>
    <w:p>
      <w:r>
        <w:rPr>
          <w:rFonts w:ascii="宋体" w:hAnsi="宋体" w:eastAsia="宋体"/>
          <w:sz w:val="24"/>
        </w:rPr>
        <w:t>（唐）孙思邈著；李景荣，苏礼，任娟莉，焦珍廉，李培振校释；马继兴学术顾问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备急千金要方校释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（唐）孙思邈著；李景荣，苏礼，任娟莉，焦珍廉，李培振校释；马继兴学术顾问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本书出售、求购地址：https://www.jiaokey.com/book/detail/13731217.html</w:t>
      </w:r>
    </w:p>
    <w:p>
      <w:r>
        <w:t>更多相关图书推荐：https://www.jiaokey.com</w:t>
      </w:r>
    </w:p>
    <w:p>
      <w:r>
        <w:t>（唐）孙思邈著；李景荣，苏礼，任娟莉，焦珍廉，李培振校释；马继兴学术顾问 其他作品：https://www.jiaokey.com/tag/（唐）孙思邈著；李景荣，苏礼，任娟莉，焦珍廉，李培振校释；马继兴学术顾问.html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关键词搜索：https://www.jiaokey.com/tag/备急千金要方校释.html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