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商品学案例</w:t>
      </w:r>
    </w:p>
    <w:p>
      <w:r>
        <w:rPr>
          <w:rFonts w:ascii="宋体" w:hAnsi="宋体" w:eastAsia="宋体"/>
          <w:sz w:val="24"/>
        </w:rPr>
        <w:t>廖佳丽主编；中国市场营销研究中心，普通高等教育教材编审委员会组编；郭国庆总主编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廖佳丽主编；中国市场营销研究中心，普通高等教育教材编审委员会组编；郭国庆总主编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本书出售、求购地址：https://www.jiaokey.com/book/detail/13731147.html</w:t>
      </w:r>
    </w:p>
    <w:p>
      <w:r>
        <w:t>更多相关图书推荐：https://www.jiaokey.com</w:t>
      </w:r>
    </w:p>
    <w:p>
      <w:r>
        <w:t>廖佳丽主编；中国市场营销研究中心，普通高等教育教材编审委员会组编；郭国庆总主编 其他作品：https://www.jiaokey.com/tag/廖佳丽主编；中国市场营销研究中心，普通高等教育教材编审委员会组编；郭国庆总主编.html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关键词搜索：https://www.jiaokey.com/tag/商品学案例.html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