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中国经济鱼类志</w:t>
      </w:r>
    </w:p>
    <w:p>
      <w:r>
        <w:rPr>
          <w:rFonts w:ascii="宋体" w:hAnsi="宋体" w:eastAsia="宋体"/>
          <w:sz w:val="24"/>
        </w:rPr>
        <w:t>石琼，范明君，张勇主编；牟峰，杨爽，王洪琦，杨晓楠，彭智宇，王立志，孙颖，游欣欣副主编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中国经济鱼类志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石琼，范明君，张勇主编；牟峰，杨爽，王洪琦，杨晓楠，彭智宇，王立志，孙颖，游欣欣副主编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本书出售、求购地址：https://www.jiaokey.com/book/detail/13730933.html</w:t>
      </w:r>
    </w:p>
    <w:p>
      <w:r>
        <w:t>更多相关图书推荐：https://www.jiaokey.com</w:t>
      </w:r>
    </w:p>
    <w:p>
      <w:r>
        <w:t>石琼，范明君，张勇主编；牟峰，杨爽，王洪琦，杨晓楠，彭智宇，王立志，孙颖，游欣欣副主编 其他作品：https://www.jiaokey.com/tag/石琼，范明君，张勇主编；牟峰，杨爽，王洪琦，杨晓楠，彭智宇，王立志，孙颖，游欣欣副主编.html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关键词搜索：https://www.jiaokey.com/tag/中国经济鱼类志.html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