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钱氏家训解读  绘画本</w:t>
      </w:r>
    </w:p>
    <w:p>
      <w:r>
        <w:rPr>
          <w:rFonts w:ascii="宋体" w:hAnsi="宋体" w:eastAsia="宋体"/>
          <w:sz w:val="24"/>
        </w:rPr>
        <w:t>黄贤权主编；临安市文学艺术界联合会编；潘庆平解读；董连元绘画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钱氏家训解读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黄贤权主编；临安市文学艺术界联合会编；潘庆平解读；董连元绘画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本书出售、求购地址：https://www.jiaokey.com/book/detail/13730789.html</w:t>
      </w:r>
    </w:p>
    <w:p>
      <w:r>
        <w:t>更多相关图书推荐：https://www.jiaokey.com</w:t>
      </w:r>
    </w:p>
    <w:p>
      <w:r>
        <w:t>黄贤权主编；临安市文学艺术界联合会编；潘庆平解读；董连元绘画 其他作品：https://www.jiaokey.com/tag/黄贤权主编；临安市文学艺术界联合会编；潘庆平解读；董连元绘画.html</w:t>
      </w:r>
    </w:p>
    <w:p>
      <w:r>
        <w:t>关键词搜索：https://www.jiaokey.com/tag/钱氏家训解读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