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武义县前倪氏房谱简续</w:t>
      </w:r>
    </w:p>
    <w:p>
      <w:r>
        <w:rPr>
          <w:rFonts w:ascii="宋体" w:hAnsi="宋体" w:eastAsia="宋体"/>
          <w:sz w:val="24"/>
        </w:rPr>
        <w:t>唐·钱塘倪麒36代孙儿银昌编印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武义县前倪氏房谱简续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唐·钱塘倪麒36代孙儿银昌编印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本书出售、求购地址：https://www.jiaokey.com/book/detail/13728347.html</w:t>
      </w:r>
    </w:p>
    <w:p>
      <w:r>
        <w:t>更多相关图书推荐：https://www.jiaokey.com</w:t>
      </w:r>
    </w:p>
    <w:p>
      <w:r>
        <w:t>唐·钱塘倪麒36代孙儿银昌编印 其他作品：https://www.jiaokey.com/tag/唐·钱塘倪麒36代孙儿银昌编印.html</w:t>
      </w:r>
    </w:p>
    <w:p>
      <w:r>
        <w:t>关键词搜索：https://www.jiaokey.com/tag/武义县前倪氏房谱简续.html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