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内科责任制整体护理常规</w:t>
      </w:r>
    </w:p>
    <w:p>
      <w:r>
        <w:rPr>
          <w:rFonts w:ascii="宋体" w:hAnsi="宋体" w:eastAsia="宋体"/>
          <w:sz w:val="24"/>
        </w:rPr>
        <w:t>杨辉，石美霞，赵秀兰主编；童宇萍，袁丽蓉，张淑青，宁卓慧，杨丽洁副主编；王斌全主审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内科责任制整体护理常规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杨辉，石美霞，赵秀兰主编；童宇萍，袁丽蓉，张淑青，宁卓慧，杨丽洁副主编；王斌全主审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本书出售、求购地址：https://www.jiaokey.com/book/detail/13727417.html</w:t>
      </w:r>
    </w:p>
    <w:p>
      <w:r>
        <w:t>更多相关图书推荐：https://www.jiaokey.com</w:t>
      </w:r>
    </w:p>
    <w:p>
      <w:r>
        <w:t>杨辉，石美霞，赵秀兰主编；童宇萍，袁丽蓉，张淑青，宁卓慧，杨丽洁副主编；王斌全主审 其他作品：https://www.jiaokey.com/tag/杨辉，石美霞，赵秀兰主编；童宇萍，袁丽蓉，张淑青，宁卓慧，杨丽洁副主编；王斌全主审.html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关键词搜索：https://www.jiaokey.com/tag/内科责任制整体护理常规.html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