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“亚洲价值观”之争  现代化进程中价值本土化的合法性研究</w:t>
      </w:r>
    </w:p>
    <w:p>
      <w:r>
        <w:rPr>
          <w:rFonts w:ascii="宋体" w:hAnsi="宋体" w:eastAsia="宋体"/>
          <w:sz w:val="24"/>
        </w:rPr>
        <w:t>金英君著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“亚洲价值观”之争  现代化进程中价值本土化的合法性研究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本书出售、求购地址：https://www.jiaokey.com/book/detail/13726932.html</w:t>
      </w:r>
    </w:p>
    <w:p>
      <w:r>
        <w:t>更多相关图书推荐：https://www.jiaokey.com</w:t>
      </w:r>
    </w:p>
    <w:p>
      <w:r>
        <w:t>金英君著 其他作品：https://www.jiaokey.com/tag/金英君著.html</w:t>
      </w:r>
    </w:p>
    <w:p>
      <w:r>
        <w:t>关键词搜索：https://www.jiaokey.com/tag/“亚洲价值观”之争  现代化进程中价值本土化的合法性研究.html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