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中国为什么有前途 对外经济关系的战略潜能（第2版）＝CHINAS BOLD FUTURE</w:t>
      </w:r>
    </w:p>
    <w:p>
      <w:r>
        <w:rPr>
          <w:rFonts w:ascii="宋体" w:hAnsi="宋体" w:eastAsia="宋体"/>
          <w:sz w:val="24"/>
        </w:rPr>
        <w:t>翟东升著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中国为什么有前途 对外经济关系的战略潜能（第2版）＝CHINAS BOLD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本书出售、求购地址：https://www.jiaokey.com/book/detail/13726847.html</w:t>
      </w:r>
    </w:p>
    <w:p>
      <w:r>
        <w:t>更多相关图书推荐：https://www.jiaokey.com</w:t>
      </w:r>
    </w:p>
    <w:p>
      <w:r>
        <w:t>翟东升著 其他作品：https://www.jiaokey.com/tag/翟东升著.html</w:t>
      </w:r>
    </w:p>
    <w:p>
      <w:r>
        <w:t>关键词搜索：https://www.jiaokey.com/tag/中国为什么有前途 对外经济关系的战略潜能（第2版）＝CHINAS BOLD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