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汽轮机设备及运行</w:t>
      </w:r>
    </w:p>
    <w:p>
      <w:r>
        <w:rPr>
          <w:rFonts w:ascii="宋体" w:hAnsi="宋体" w:eastAsia="宋体"/>
          <w:sz w:val="24"/>
        </w:rPr>
        <w:t>杨巧云，李建刚主编；杨雪萍，王学斌副主编；李钰冰编写；黄树红主审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杨巧云，李建刚主编；杨雪萍，王学斌副主编；李钰冰编写；黄树红主审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本书出售、求购地址：https://www.jiaokey.com/book/detail/13725576.html</w:t>
      </w:r>
    </w:p>
    <w:p>
      <w:r>
        <w:t>更多相关图书推荐：https://www.jiaokey.com</w:t>
      </w:r>
    </w:p>
    <w:p>
      <w:r>
        <w:t>杨巧云，李建刚主编；杨雪萍，王学斌副主编；李钰冰编写；黄树红主审 其他作品：https://www.jiaokey.com/tag/杨巧云，李建刚主编；杨雪萍，王学斌副主编；李钰冰编写；黄树红主审.html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