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实例解读西门子PLC</w:t>
      </w:r>
    </w:p>
    <w:p>
      <w:r>
        <w:rPr>
          <w:rFonts w:ascii="宋体" w:hAnsi="宋体" w:eastAsia="宋体"/>
          <w:sz w:val="24"/>
        </w:rPr>
        <w:t>田宝森，薛彬主编；李瑞，陈娜副主编；翟明戈主审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实例解读西门子PLC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田宝森，薛彬主编；李瑞，陈娜副主编；翟明戈主审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本书出售、求购地址：https://www.jiaokey.com/book/detail/13725547.html</w:t>
      </w:r>
    </w:p>
    <w:p>
      <w:r>
        <w:t>更多相关图书推荐：https://www.jiaokey.com</w:t>
      </w:r>
    </w:p>
    <w:p>
      <w:r>
        <w:t>田宝森，薛彬主编；李瑞，陈娜副主编；翟明戈主审 其他作品：https://www.jiaokey.com/tag/田宝森，薛彬主编；李瑞，陈娜副主编；翟明戈主审.html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关键词搜索：https://www.jiaokey.com/tag/实例解读西门子PLC.html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