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常见皮肤病防治-银屑病</w:t>
      </w:r>
    </w:p>
    <w:p>
      <w:r>
        <w:rPr>
          <w:rFonts w:ascii="宋体" w:hAnsi="宋体" w:eastAsia="宋体"/>
          <w:sz w:val="24"/>
        </w:rPr>
        <w:t>肖治主编；陈泽宇，覃好甫，石邵文等编委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常见皮肤病防治-银屑病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肖治主编；陈泽宇，覃好甫，石邵文等编委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三峡电子音像出版社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本书出售、求购地址：https://www.jiaokey.com/book/detail/13725182.html</w:t>
      </w:r>
    </w:p>
    <w:p>
      <w:r>
        <w:t>更多相关图书推荐：https://www.jiaokey.com</w:t>
      </w:r>
    </w:p>
    <w:p>
      <w:r>
        <w:t>肖治主编；陈泽宇，覃好甫，石邵文等编委 其他作品：https://www.jiaokey.com/tag/肖治主编；陈泽宇，覃好甫，石邵文等编委.html</w:t>
      </w:r>
    </w:p>
    <w:p>
      <w:r>
        <w:t>三峡电子音像出版社 出版图书：https://www.jiaokey.com/tag/三峡电子音像出版社.html</w:t>
      </w:r>
    </w:p>
    <w:p>
      <w:r>
        <w:t>关键词搜索：https://www.jiaokey.com/tag/常见皮肤病防治-银屑病.html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