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屈原与《离骚》研究</w:t>
      </w:r>
    </w:p>
    <w:p>
      <w:r>
        <w:rPr>
          <w:rFonts w:ascii="宋体" w:hAnsi="宋体" w:eastAsia="宋体"/>
          <w:sz w:val="24"/>
        </w:rPr>
        <w:t>湖北省宜昌市文学艺术界联合会，湖北三峡职业技术学院合编；王作栋，吴绪久丛书主编；李哮沛著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屈原与《离骚》研究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湖北省宜昌市文学艺术界联合会，湖北三峡职业技术学院合编；王作栋，吴绪久丛书主编；李哮沛著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本书出售、求购地址：https://www.jiaokey.com/book/detail/13725173.html</w:t>
      </w:r>
    </w:p>
    <w:p>
      <w:r>
        <w:t>更多相关图书推荐：https://www.jiaokey.com</w:t>
      </w:r>
    </w:p>
    <w:p>
      <w:r>
        <w:t>湖北省宜昌市文学艺术界联合会，湖北三峡职业技术学院合编；王作栋，吴绪久丛书主编；李哮沛著 其他作品：https://www.jiaokey.com/tag/湖北省宜昌市文学艺术界联合会，湖北三峡职业技术学院合编；王作栋，吴绪久丛书主编；李哮沛著.html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关键词搜索：https://www.jiaokey.com/tag/屈原与《离骚》研究.html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