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  2</w:t>
      </w:r>
    </w:p>
    <w:p>
      <w:r>
        <w:rPr>
          <w:rFonts w:ascii="宋体" w:hAnsi="宋体" w:eastAsia="宋体"/>
          <w:sz w:val="24"/>
        </w:rPr>
        <w:t>金庸原作；姚钧改编；郭东健，李舒云绘画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金庸原作；姚钧改编；郭东健，李舒云绘画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本书出售、求购地址：https://www.jiaokey.com/book/detail/13724974.html</w:t>
      </w:r>
    </w:p>
    <w:p>
      <w:r>
        <w:t>更多相关图书推荐：https://www.jiaokey.com</w:t>
      </w:r>
    </w:p>
    <w:p>
      <w:r>
        <w:t>金庸原作；姚钧改编；郭东健，李舒云绘画 其他作品：https://www.jiaokey.com/tag/金庸原作；姚钧改编；郭东健，李舒云绘画.html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关键词搜索：https://www.jiaokey.com/tag/书剑恩仇录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