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plm86用户指南用于8086开发系统</w:t>
      </w:r>
    </w:p>
    <w:p>
      <w:r>
        <w:rPr>
          <w:rFonts w:ascii="宋体" w:hAnsi="宋体" w:eastAsia="宋体"/>
          <w:sz w:val="24"/>
        </w:rPr>
        <w:t>张纶吴昊天译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plm86用户指南用于8086开发系统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张纶吴昊天译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航空工业部第五七四厂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本书出售、求购地址：https://www.jiaokey.com/book/detail/13724433.html</w:t>
      </w:r>
    </w:p>
    <w:p>
      <w:r>
        <w:t>更多相关图书推荐：https://www.jiaokey.com</w:t>
      </w:r>
    </w:p>
    <w:p>
      <w:r>
        <w:t>张纶吴昊天译 其他作品：https://www.jiaokey.com/tag/张纶吴昊天译.html</w:t>
      </w:r>
    </w:p>
    <w:p>
      <w:r>
        <w:t>航空工业部第五七四厂 出版图书：https://www.jiaokey.com/tag/航空工业部第五七四厂.html</w:t>
      </w:r>
    </w:p>
    <w:p>
      <w:r>
        <w:t>关键词搜索：https://www.jiaokey.com/tag/plm86用户指南用于8086开发系统.html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