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千年王陵</w:t>
      </w:r>
    </w:p>
    <w:p>
      <w:r>
        <w:rPr>
          <w:rFonts w:ascii="宋体" w:hAnsi="宋体" w:eastAsia="宋体"/>
          <w:sz w:val="24"/>
        </w:rPr>
        <w:t>长青编辑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千年王陵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长青编辑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临安市钱王陵园管理处；临安市钱镠研究会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本书出售、求购地址：https://www.jiaokey.com/book/detail/13723614.html</w:t>
      </w:r>
    </w:p>
    <w:p>
      <w:r>
        <w:t>更多相关图书推荐：https://www.jiaokey.com</w:t>
      </w:r>
    </w:p>
    <w:p>
      <w:r>
        <w:t>长青编辑 其他作品：https://www.jiaokey.com/tag/长青编辑.html</w:t>
      </w:r>
    </w:p>
    <w:p>
      <w:r>
        <w:t>临安市钱王陵园管理处；临安市钱镠研究会 出版图书：https://www.jiaokey.com/tag/临安市钱王陵园管理处；临安市钱镠研究会.html</w:t>
      </w:r>
    </w:p>
    <w:p>
      <w:r>
        <w:t>关键词搜索：https://www.jiaokey.com/tag/千年王陵.html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