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干燥综合征防治123问</w:t>
      </w:r>
    </w:p>
    <w:p>
      <w:r>
        <w:rPr>
          <w:rFonts w:ascii="宋体" w:hAnsi="宋体" w:eastAsia="宋体"/>
          <w:sz w:val="24"/>
        </w:rPr>
        <w:t>徐蕾主编；谢英彪，吴学苏，陆馨副主编；陶依凤，郭亮，徐大可等编者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干燥综合征防治123问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徐蕾主编；谢英彪，吴学苏，陆馨副主编；陶依凤，郭亮，徐大可等编者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本书出售、求购地址：https://www.jiaokey.com/book/detail/13723086.html</w:t>
      </w:r>
    </w:p>
    <w:p>
      <w:r>
        <w:t>更多相关图书推荐：https://www.jiaokey.com</w:t>
      </w:r>
    </w:p>
    <w:p>
      <w:r>
        <w:t>徐蕾主编；谢英彪，吴学苏，陆馨副主编；陶依凤，郭亮，徐大可等编者 其他作品：https://www.jiaokey.com/tag/徐蕾主编；谢英彪，吴学苏，陆馨副主编；陶依凤，郭亮，徐大可等编者.html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关键词搜索：https://www.jiaokey.com/tag/干燥综合征防治123问.html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