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财政法规选编</w:t>
      </w:r>
    </w:p>
    <w:p>
      <w:r>
        <w:rPr>
          <w:rFonts w:ascii="宋体" w:hAnsi="宋体" w:eastAsia="宋体"/>
          <w:sz w:val="24"/>
        </w:rPr>
        <w:t>贵州省财政厅，贵州省审计厅编制；顾庆金主编；樊丙礼，李隆昌，何文江副主编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贵州省财政厅，贵州省审计厅编制；顾庆金主编；樊丙礼，李隆昌，何文江副主编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本书出售、求购地址：https://www.jiaokey.com/book/detail/13722446.html</w:t>
      </w:r>
    </w:p>
    <w:p>
      <w:r>
        <w:t>更多相关图书推荐：https://www.jiaokey.com</w:t>
      </w:r>
    </w:p>
    <w:p>
      <w:r>
        <w:t>贵州省财政厅，贵州省审计厅编制；顾庆金主编；樊丙礼，李隆昌，何文江副主编 其他作品：https://www.jiaokey.com/tag/贵州省财政厅，贵州省审计厅编制；顾庆金主编；樊丙礼，李隆昌，何文江副主编.html</w:t>
      </w:r>
    </w:p>
    <w:p>
      <w:r>
        <w:t>关键词搜索：https://www.jiaokey.com/tag/财政法规选编.html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