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老年高血压诊治进展</w:t>
      </w:r>
    </w:p>
    <w:p>
      <w:r>
        <w:rPr>
          <w:rFonts w:ascii="宋体" w:hAnsi="宋体" w:eastAsia="宋体"/>
          <w:sz w:val="24"/>
        </w:rPr>
        <w:t>刘梅林主编；袁洪，温绍君，武剑副主编；祁芸云主审；冯雪茹，陈亚红主编助理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老年高血压诊治进展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刘梅林主编；袁洪，温绍君，武剑副主编；祁芸云主审；冯雪茹，陈亚红主编助理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本书出售、求购地址：https://www.jiaokey.com/book/detail/13721010.html</w:t>
      </w:r>
    </w:p>
    <w:p>
      <w:r>
        <w:t>更多相关图书推荐：https://www.jiaokey.com</w:t>
      </w:r>
    </w:p>
    <w:p>
      <w:r>
        <w:t>刘梅林主编；袁洪，温绍君，武剑副主编；祁芸云主审；冯雪茹，陈亚红主编助理 其他作品：https://www.jiaokey.com/tag/刘梅林主编；袁洪，温绍君，武剑副主编；祁芸云主审；冯雪茹，陈亚红主编助理.html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关键词搜索：https://www.jiaokey.com/tag/老年高血压诊治进展.html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