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文化创意产业“北京模式”与“昆士兰模式”比较研究</w:t>
      </w:r>
    </w:p>
    <w:p>
      <w:r>
        <w:rPr>
          <w:rFonts w:ascii="宋体" w:hAnsi="宋体" w:eastAsia="宋体"/>
          <w:sz w:val="24"/>
        </w:rPr>
        <w:t>李庆本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文化创意产业“北京模式”与“昆士兰模式”比较研究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本书出售、求购地址：https://www.jiaokey.com/book/detail/13720247.html</w:t>
      </w:r>
    </w:p>
    <w:p>
      <w:r>
        <w:t>更多相关图书推荐：https://www.jiaokey.com</w:t>
      </w:r>
    </w:p>
    <w:p>
      <w:r>
        <w:t>李庆本 其他作品：https://www.jiaokey.com/tag/李庆本.html</w:t>
      </w:r>
    </w:p>
    <w:p>
      <w:r>
        <w:t>关键词搜索：https://www.jiaokey.com/tag/文化创意产业“北京模式”与“昆士兰模式”比较研究.html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