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版面设计的关键法则</w:t>
      </w:r>
    </w:p>
    <w:p>
      <w:r>
        <w:rPr>
          <w:rFonts w:ascii="宋体" w:hAnsi="宋体" w:eastAsia="宋体"/>
          <w:sz w:val="24"/>
        </w:rPr>
        <w:t>佐佐木刚士著；亚里译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版面设计的关键法则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佐佐木刚士著；亚里译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本书出售、求购地址：https://www.jiaokey.com/book/detail/13716440.html</w:t>
      </w:r>
    </w:p>
    <w:p>
      <w:r>
        <w:t>更多相关图书推荐：https://www.jiaokey.com</w:t>
      </w:r>
    </w:p>
    <w:p>
      <w:r>
        <w:t>佐佐木刚士著；亚里译 其他作品：https://www.jiaokey.com/tag/佐佐木刚士著；亚里译.html</w:t>
      </w:r>
    </w:p>
    <w:p>
      <w:r>
        <w:t>麦浩斯 出版图书：https://www.jiaokey.com/tag/麦浩斯.html</w:t>
      </w:r>
    </w:p>
    <w:p>
      <w:r>
        <w:t>关键词搜索：https://www.jiaokey.com/tag/版面设计的关键法则.html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