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上</w:t>
      </w:r>
    </w:p>
    <w:p>
      <w:r>
        <w:rPr>
          <w:rFonts w:ascii="宋体" w:hAnsi="宋体" w:eastAsia="宋体"/>
          <w:sz w:val="24"/>
        </w:rPr>
        <w:t>刘金春，杜青主编；李万龙，刘润星，刘然慧副主编；商伟军主审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刘金春，杜青主编；李万龙，刘润星，刘然慧副主编；商伟军主审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本书出售、求购地址：https://www.jiaokey.com/book/detail/13714852.html</w:t>
      </w:r>
    </w:p>
    <w:p>
      <w:r>
        <w:t>更多相关图书推荐：https://www.jiaokey.com</w:t>
      </w:r>
    </w:p>
    <w:p>
      <w:r>
        <w:t>刘金春，杜青主编；李万龙，刘润星，刘然慧副主编；商伟军主审 其他作品：https://www.jiaokey.com/tag/刘金春，杜青主编；李万龙，刘润星，刘然慧副主编；商伟军主审.html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关键词搜索：https://www.jiaokey.com/tag/结构力学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