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经济法案例分析指导</w:t>
      </w:r>
    </w:p>
    <w:p>
      <w:r>
        <w:rPr>
          <w:rFonts w:ascii="宋体" w:hAnsi="宋体" w:eastAsia="宋体"/>
          <w:sz w:val="24"/>
        </w:rPr>
        <w:t>邸晨霞，陈秀芹主编；庞江峰，王春福，冯香人副主编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经济法案例分析指导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邸晨霞，陈秀芹主编；庞江峰，王春福，冯香人副主编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本书出售、求购地址：https://www.jiaokey.com/book/detail/13713104.html</w:t>
      </w:r>
    </w:p>
    <w:p>
      <w:r>
        <w:t>更多相关图书推荐：https://www.jiaokey.com</w:t>
      </w:r>
    </w:p>
    <w:p>
      <w:r>
        <w:t>邸晨霞，陈秀芹主编；庞江峰，王春福，冯香人副主编 其他作品：https://www.jiaokey.com/tag/邸晨霞，陈秀芹主编；庞江峰，王春福，冯香人副主编.html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关键词搜索：https://www.jiaokey.com/tag/经济法案例分析指导.html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