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浮动汇率  货币价值波动与世界经济稳定</w:t>
      </w:r>
    </w:p>
    <w:p>
      <w:r>
        <w:rPr>
          <w:rFonts w:ascii="宋体" w:hAnsi="宋体" w:eastAsia="宋体"/>
          <w:sz w:val="24"/>
        </w:rPr>
        <w:t>约瑟夫·加侬（JOSEPHE.GAGNON），马克·因特施维格（MARCHINTERSCHWEIGER）著；李晨乐，王丽繁译；刘占彬校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浮动汇率  货币价值波动与世界经济稳定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约瑟夫·加侬（JOSEPHE.GAGNON），马克·因特施维格（MARCHINTERSCHWEIGER）著；李晨乐，王丽繁译；刘占彬校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本书出售、求购地址：https://www.jiaokey.com/book/detail/13712903.html</w:t>
      </w:r>
    </w:p>
    <w:p>
      <w:r>
        <w:t>更多相关图书推荐：https://www.jiaokey.com</w:t>
      </w:r>
    </w:p>
    <w:p>
      <w:r>
        <w:t>约瑟夫·加侬（JOSEPHE.GAGNON），马克·因特施维格（MARCHINTERSCHWEIGER）著；李晨乐，王丽繁译；刘占彬校 其他作品：https://www.jiaokey.com/tag/约瑟夫·加侬（JOSEPHE.GAGNON），马克·因特施维格（MARCHINTERSCHWEIGER）著；李晨乐，王丽繁译；刘占彬校.html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关键词搜索：https://www.jiaokey.com/tag/浮动汇率  货币价值波动与世界经济稳定.html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