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现代大型水面舰船</w:t>
      </w:r>
    </w:p>
    <w:p>
      <w:r>
        <w:rPr>
          <w:rFonts w:ascii="宋体" w:hAnsi="宋体" w:eastAsia="宋体"/>
          <w:sz w:val="24"/>
        </w:rPr>
        <w:t>于凯，常欣主编；郭春雨，孙祥杰，王超副主编；黄胜主审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现代大型水面舰船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于凯，常欣主编；郭春雨，孙祥杰，王超副主编；黄胜主审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本书出售、求购地址：https://www.jiaokey.com/book/detail/13712508.html</w:t>
      </w:r>
    </w:p>
    <w:p>
      <w:r>
        <w:t>更多相关图书推荐：https://www.jiaokey.com</w:t>
      </w:r>
    </w:p>
    <w:p>
      <w:r>
        <w:t>于凯，常欣主编；郭春雨，孙祥杰，王超副主编；黄胜主审 其他作品：https://www.jiaokey.com/tag/于凯，常欣主编；郭春雨，孙祥杰，王超副主编；黄胜主审.html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关键词搜索：https://www.jiaokey.com/tag/现代大型水面舰船.html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