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国民政府现行公文程序详解</w:t>
      </w:r>
    </w:p>
    <w:p>
      <w:r>
        <w:rPr>
          <w:rFonts w:ascii="宋体" w:hAnsi="宋体" w:eastAsia="宋体"/>
          <w:sz w:val="24"/>
        </w:rPr>
        <w:t>王尹孚编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国民政府现行公文程序详解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王尹孚编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上海会文堂编译社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本书出售、求购地址：https://www.jiaokey.com/book/detail/13711647.html</w:t>
      </w:r>
    </w:p>
    <w:p>
      <w:r>
        <w:t>更多相关图书推荐：https://www.jiaokey.com</w:t>
      </w:r>
    </w:p>
    <w:p>
      <w:r>
        <w:t>王尹孚编 其他作品：https://www.jiaokey.com/tag/王尹孚编.html</w:t>
      </w:r>
    </w:p>
    <w:p>
      <w:r>
        <w:t>上海会文堂编译社 出版图书：https://www.jiaokey.com/tag/上海会文堂编译社.html</w:t>
      </w:r>
    </w:p>
    <w:p>
      <w:r>
        <w:t>关键词搜索：https://www.jiaokey.com/tag/国民政府现行公文程序详解.html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