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国际河流水资源争端解决模式研究</w:t>
      </w:r>
    </w:p>
    <w:p>
      <w:r>
        <w:rPr>
          <w:rFonts w:ascii="宋体" w:hAnsi="宋体" w:eastAsia="宋体"/>
          <w:sz w:val="24"/>
        </w:rPr>
        <w:t>黄雅屏著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国际河流水资源争端解决模式研究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黄雅屏著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南京：河海大学出版社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本书出售、求购地址：https://www.jiaokey.com/book/detail/13711142.html</w:t>
      </w:r>
    </w:p>
    <w:p>
      <w:r>
        <w:t>更多相关图书推荐：https://www.jiaokey.com</w:t>
      </w:r>
    </w:p>
    <w:p>
      <w:r>
        <w:t>黄雅屏著 其他作品：https://www.jiaokey.com/tag/黄雅屏著.html</w:t>
      </w:r>
    </w:p>
    <w:p>
      <w:r>
        <w:t>南京：河海大学出版社 出版图书：https://www.jiaokey.com/tag/南京：河海大学出版社.html</w:t>
      </w:r>
    </w:p>
    <w:p>
      <w:r>
        <w:t>关键词搜索：https://www.jiaokey.com/tag/国际河流水资源争端解决模式研究.html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