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魏晋南北朝隋唐立法与法律体系  敕例、法典与唐法系源流  下</w:t>
      </w:r>
    </w:p>
    <w:p>
      <w:r>
        <w:rPr>
          <w:rFonts w:ascii="宋体" w:hAnsi="宋体" w:eastAsia="宋体"/>
          <w:sz w:val="24"/>
        </w:rPr>
        <w:t>楼劲著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魏晋南北朝隋唐立法与法律体系  敕例、法典与唐法系源流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本书出售、求购地址：https://www.jiaokey.com/book/detail/13710597.html</w:t>
      </w:r>
    </w:p>
    <w:p>
      <w:r>
        <w:t>更多相关图书推荐：https://www.jiaokey.com</w:t>
      </w:r>
    </w:p>
    <w:p>
      <w:r>
        <w:t>楼劲著 其他作品：https://www.jiaokey.com/tag/楼劲著.html</w:t>
      </w:r>
    </w:p>
    <w:p>
      <w:r>
        <w:t>中国社科学出版社 出版图书：https://www.jiaokey.com/tag/中国社科学出版社.html</w:t>
      </w:r>
    </w:p>
    <w:p>
      <w:r>
        <w:t>关键词搜索：https://www.jiaokey.com/tag/魏晋南北朝隋唐立法与法律体系  敕例、法典与唐法系源流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