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印度尼西亚高等教育政策法规</w:t>
      </w:r>
    </w:p>
    <w:p>
      <w:r>
        <w:rPr>
          <w:rFonts w:ascii="宋体" w:hAnsi="宋体" w:eastAsia="宋体"/>
          <w:sz w:val="24"/>
        </w:rPr>
        <w:t>李枭鹰，唐德海总主编；欧阳常青，王喜娟副总主编；李枭鹰，向佳桦编译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李枭鹰，唐德海总主编；欧阳常青，王喜娟副总主编；李枭鹰，向佳桦编译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本书出售、求购地址：https://www.jiaokey.com/book/detail/13710517.html</w:t>
      </w:r>
    </w:p>
    <w:p>
      <w:r>
        <w:t>更多相关图书推荐：https://www.jiaokey.com</w:t>
      </w:r>
    </w:p>
    <w:p>
      <w:r>
        <w:t>李枭鹰，唐德海总主编；欧阳常青，王喜娟副总主编；李枭鹰，向佳桦编译 其他作品：https://www.jiaokey.com/tag/李枭鹰，唐德海总主编；欧阳常青，王喜娟副总主编；李枭鹰，向佳桦编译.html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关键词搜索：https://www.jiaokey.com/tag/印度尼西亚高等教育政策法规.html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