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地方立法权之研究：基于纵向分权所进行的解读</w:t>
      </w:r>
    </w:p>
    <w:p>
      <w:r>
        <w:rPr>
          <w:rFonts w:ascii="宋体" w:hAnsi="宋体" w:eastAsia="宋体"/>
          <w:sz w:val="24"/>
        </w:rPr>
        <w:t>王崟屾著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地方立法权之研究：基于纵向分权所进行的解读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王崟屾著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本书出售、求购地址：https://www.jiaokey.com/book/detail/13710439.html</w:t>
      </w:r>
    </w:p>
    <w:p>
      <w:r>
        <w:t>更多相关图书推荐：https://www.jiaokey.com</w:t>
      </w:r>
    </w:p>
    <w:p>
      <w:r>
        <w:t>王崟屾著 其他作品：https://www.jiaokey.com/tag/王崟屾著.html</w:t>
      </w:r>
    </w:p>
    <w:p>
      <w:r>
        <w:t>关键词搜索：https://www.jiaokey.com/tag/地方立法权之研究：基于纵向分权所进行的解读.html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