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南西伯利亚古代史</w:t>
      </w:r>
    </w:p>
    <w:p>
      <w:r>
        <w:rPr>
          <w:rFonts w:ascii="宋体" w:hAnsi="宋体" w:eastAsia="宋体"/>
          <w:sz w:val="24"/>
        </w:rPr>
        <w:t>《新疆通史》编撰委员会编；（苏）C.B.吉谢列夫著；王博译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南西伯利亚古代史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《新疆通史》编撰委员会编；（苏）C.B.吉谢列夫著；王博译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本书出售、求购地址：https://www.jiaokey.com/book/detail/13710307.html</w:t>
      </w:r>
    </w:p>
    <w:p>
      <w:r>
        <w:t>更多相关图书推荐：https://www.jiaokey.com</w:t>
      </w:r>
    </w:p>
    <w:p>
      <w:r>
        <w:t>《新疆通史》编撰委员会编；（苏）C.B.吉谢列夫著；王博译 其他作品：https://www.jiaokey.com/tag/《新疆通史》编撰委员会编；（苏）C.B.吉谢列夫著；王博译.html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关键词搜索：https://www.jiaokey.com/tag/南西伯利亚古代史.html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