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民间借贷实用案例解析</w:t>
      </w:r>
    </w:p>
    <w:p>
      <w:r>
        <w:rPr>
          <w:rFonts w:ascii="宋体" w:hAnsi="宋体" w:eastAsia="宋体"/>
          <w:sz w:val="24"/>
        </w:rPr>
        <w:t>林晨，金赛波主编；林恩伟，江伟，赵怡璐，陈泳滨，包荷丽，蔡渭奇，郭晶晶编委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民间借贷实用案例解析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林晨，金赛波主编；林恩伟，江伟，赵怡璐，陈泳滨，包荷丽，蔡渭奇，郭晶晶编委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本书出售、求购地址：https://www.jiaokey.com/book/detail/13708183.html</w:t>
      </w:r>
    </w:p>
    <w:p>
      <w:r>
        <w:t>更多相关图书推荐：https://www.jiaokey.com</w:t>
      </w:r>
    </w:p>
    <w:p>
      <w:r>
        <w:t>林晨，金赛波主编；林恩伟，江伟，赵怡璐，陈泳滨，包荷丽，蔡渭奇，郭晶晶编委 其他作品：https://www.jiaokey.com/tag/林晨，金赛波主编；林恩伟，江伟，赵怡璐，陈泳滨，包荷丽，蔡渭奇，郭晶晶编委.html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关键词搜索：https://www.jiaokey.com/tag/民间借贷实用案例解析.html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