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企业内部控制主要风险点、关键控制点与案例解析  2015年</w:t>
      </w:r>
    </w:p>
    <w:p>
      <w:r>
        <w:rPr>
          <w:rFonts w:ascii="宋体" w:hAnsi="宋体" w:eastAsia="宋体"/>
          <w:sz w:val="24"/>
        </w:rPr>
        <w:t>企业内部控制编审委员会编著；罗胜强主编；李培辉，刘兵，赵团结，左强，兰海涛编委成员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企业内部控制主要风险点、关键控制点与案例解析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企业内部控制编审委员会编著；罗胜强主编；李培辉，刘兵，赵团结，左强，兰海涛编委成员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本书出售、求购地址：https://www.jiaokey.com/book/detail/13706744.html</w:t>
      </w:r>
    </w:p>
    <w:p>
      <w:r>
        <w:t>更多相关图书推荐：https://www.jiaokey.com</w:t>
      </w:r>
    </w:p>
    <w:p>
      <w:r>
        <w:t>企业内部控制编审委员会编著；罗胜强主编；李培辉，刘兵，赵团结，左强，兰海涛编委成员 其他作品：https://www.jiaokey.com/tag/企业内部控制编审委员会编著；罗胜强主编；李培辉，刘兵，赵团结，左强，兰海涛编委成员.html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关键词搜索：https://www.jiaokey.com/tag/企业内部控制主要风险点、关键控制点与案例解析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