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中国土地市场运行与改革  2013</w:t>
      </w:r>
    </w:p>
    <w:p>
      <w:r>
        <w:rPr>
          <w:rFonts w:ascii="宋体" w:hAnsi="宋体" w:eastAsia="宋体"/>
          <w:sz w:val="24"/>
        </w:rPr>
        <w:t>中国土地矿产法律事务中心，中地指数CLI研究中心编著；叶明权，扬重光主编；卢静，张杰副主编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中国土地市场运行与改革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中国土地矿产法律事务中心，中地指数CLI研究中心编著；叶明权，扬重光主编；卢静，张杰副主编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本书出售、求购地址：https://www.jiaokey.com/book/detail/13706265.html</w:t>
      </w:r>
    </w:p>
    <w:p>
      <w:r>
        <w:t>更多相关图书推荐：https://www.jiaokey.com</w:t>
      </w:r>
    </w:p>
    <w:p>
      <w:r>
        <w:t>中国土地矿产法律事务中心，中地指数CLI研究中心编著；叶明权，扬重光主编；卢静，张杰副主编 其他作品：https://www.jiaokey.com/tag/中国土地矿产法律事务中心，中地指数CLI研究中心编著；叶明权，扬重光主编；卢静，张杰副主编.html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关键词搜索：https://www.jiaokey.com/tag/中国土地市场运行与改革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