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中世纪欧洲世俗法</w:t>
      </w:r>
    </w:p>
    <w:p>
      <w:r>
        <w:rPr>
          <w:rFonts w:ascii="宋体" w:hAnsi="宋体" w:eastAsia="宋体"/>
          <w:sz w:val="24"/>
        </w:rPr>
        <w:t>陈灵梅，柴松霞，冯引如，卢然，林海，郭文青，江小夏，吴玄，肖崇俊著；何勤华主编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中世纪欧洲世俗法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陈灵梅，柴松霞，冯引如，卢然，林海，郭文青，江小夏，吴玄，肖崇俊著；何勤华主编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本书出售、求购地址：https://www.jiaokey.com/book/detail/13704444.html</w:t>
      </w:r>
    </w:p>
    <w:p>
      <w:r>
        <w:t>更多相关图书推荐：https://www.jiaokey.com</w:t>
      </w:r>
    </w:p>
    <w:p>
      <w:r>
        <w:t>陈灵梅，柴松霞，冯引如，卢然，林海，郭文青，江小夏，吴玄，肖崇俊著；何勤华主编 其他作品：https://www.jiaokey.com/tag/陈灵梅，柴松霞，冯引如，卢然，林海，郭文青，江小夏，吴玄，肖崇俊著；何勤华主编.html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关键词搜索：https://www.jiaokey.com/tag/中世纪欧洲世俗法.html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