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政策和部门改革的战略环境评价  概念模型和操作指南</w:t>
      </w:r>
    </w:p>
    <w:p>
      <w:r>
        <w:rPr>
          <w:rFonts w:ascii="宋体" w:hAnsi="宋体" w:eastAsia="宋体"/>
          <w:sz w:val="24"/>
        </w:rPr>
        <w:t>世界银行，哥德堡大学，瑞典农业大学，荷兰环境评估委员会主编；李天威等译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政策和部门改革的战略环境评价  概念模型和操作指南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世界银行，哥德堡大学，瑞典农业大学，荷兰环境评估委员会主编；李天威等译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本书出售、求购地址：https://www.jiaokey.com/book/detail/13703249.html</w:t>
      </w:r>
    </w:p>
    <w:p>
      <w:r>
        <w:t>更多相关图书推荐：https://www.jiaokey.com</w:t>
      </w:r>
    </w:p>
    <w:p>
      <w:r>
        <w:t>世界银行，哥德堡大学，瑞典农业大学，荷兰环境评估委员会主编；李天威等译 其他作品：https://www.jiaokey.com/tag/世界银行，哥德堡大学，瑞典农业大学，荷兰环境评估委员会主编；李天威等译.html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关键词搜索：https://www.jiaokey.com/tag/政策和部门改革的战略环境评价  概念模型和操作指南.html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