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网络空间法律规制</w:t>
      </w:r>
    </w:p>
    <w:p>
      <w:r>
        <w:rPr>
          <w:rFonts w:ascii="宋体" w:hAnsi="宋体" w:eastAsia="宋体"/>
          <w:sz w:val="24"/>
        </w:rPr>
        <w:t>韩德强主编；王翼鲁，孙日华，尹楠，鞠吉瑞副主编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韩德强主编；王翼鲁，孙日华，尹楠，鞠吉瑞副主编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本书出售、求购地址：https://www.jiaokey.com/book/detail/13703120.html</w:t>
      </w:r>
    </w:p>
    <w:p>
      <w:r>
        <w:t>更多相关图书推荐：https://www.jiaokey.com</w:t>
      </w:r>
    </w:p>
    <w:p>
      <w:r>
        <w:t>韩德强主编；王翼鲁，孙日华，尹楠，鞠吉瑞副主编 其他作品：https://www.jiaokey.com/tag/韩德强主编；王翼鲁，孙日华，尹楠，鞠吉瑞副主编.html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关键词搜索：https://www.jiaokey.com/tag/网络空间法律规制.html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