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活用法语2000句</w:t>
      </w:r>
    </w:p>
    <w:p>
      <w:r>
        <w:rPr>
          <w:rFonts w:ascii="宋体" w:hAnsi="宋体" w:eastAsia="宋体"/>
          <w:sz w:val="24"/>
        </w:rPr>
        <w:t>（瑞士）亨利·弗雷著；赵德恕博士校订；文桥部编译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活用法语2000句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（瑞士）亨利·弗雷著；赵德恕博士校订；文桥部编译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本书出售、求购地址：https://www.jiaokey.com/book/detail/13699436.html</w:t>
      </w:r>
    </w:p>
    <w:p>
      <w:r>
        <w:t>更多相关图书推荐：https://www.jiaokey.com</w:t>
      </w:r>
    </w:p>
    <w:p>
      <w:r>
        <w:t>（瑞士）亨利·弗雷著；赵德恕博士校订；文桥部编译 其他作品：https://www.jiaokey.com/tag/（瑞士）亨利·弗雷著；赵德恕博士校订；文桥部编译.html</w:t>
      </w:r>
    </w:p>
    <w:p>
      <w:r>
        <w:t>文巧出版社 出版图书：https://www.jiaokey.com/tag/文巧出版社.html</w:t>
      </w:r>
    </w:p>
    <w:p>
      <w:r>
        <w:t>关键词搜索：https://www.jiaokey.com/tag/活用法语2000句.html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