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Basic程序设计教程</w:t>
      </w:r>
    </w:p>
    <w:p>
      <w:r>
        <w:rPr>
          <w:rFonts w:ascii="宋体" w:hAnsi="宋体" w:eastAsia="宋体"/>
          <w:sz w:val="24"/>
        </w:rPr>
        <w:t>王郁武，翁小兰主编；黄贤立，田艳华，齐金山副主编；吴克力主审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王郁武，翁小兰主编；黄贤立，田艳华，齐金山副主编；吴克力主审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本书出售、求购地址：https://www.jiaokey.com/book/detail/13697395.html</w:t>
      </w:r>
    </w:p>
    <w:p>
      <w:r>
        <w:t>更多相关图书推荐：https://www.jiaokey.com</w:t>
      </w:r>
    </w:p>
    <w:p>
      <w:r>
        <w:t>王郁武，翁小兰主编；黄贤立，田艳华，齐金山副主编；吴克力主审 其他作品：https://www.jiaokey.com/tag/王郁武，翁小兰主编；黄贤立，田艳华，齐金山副主编；吴克力主审.html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Basic程序设计教程.html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