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汇率决定理论的微观结构方法</w:t>
      </w:r>
    </w:p>
    <w:p>
      <w:r>
        <w:rPr>
          <w:rFonts w:ascii="宋体" w:hAnsi="宋体" w:eastAsia="宋体"/>
          <w:sz w:val="24"/>
        </w:rPr>
        <w:t>理查德·K.莱昂（RichardK.Lyons）著；王玮，马明译；王玮，彭程校；张慎峰主编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汇率决定理论的微观结构方法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理查德·K.莱昂（RichardK.Lyons）著；王玮，马明译；王玮，彭程校；张慎峰主编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本书出售、求购地址：https://www.jiaokey.com/book/detail/13696657.html</w:t>
      </w:r>
    </w:p>
    <w:p>
      <w:r>
        <w:t>更多相关图书推荐：https://www.jiaokey.com</w:t>
      </w:r>
    </w:p>
    <w:p>
      <w:r>
        <w:t>理查德·K.莱昂（RichardK.Lyons）著；王玮，马明译；王玮，彭程校；张慎峰主编 其他作品：https://www.jiaokey.com/tag/理查德·K.莱昂（RichardK.Lyons）著；王玮，马明译；王玮，彭程校；张慎峰主编.html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关键词搜索：https://www.jiaokey.com/tag/汇率决定理论的微观结构方法.html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