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人与社会关系思想的历史性生成：青年马克思思想探析</w:t>
      </w:r>
    </w:p>
    <w:p>
      <w:r>
        <w:rPr>
          <w:rFonts w:ascii="宋体" w:hAnsi="宋体" w:eastAsia="宋体"/>
          <w:sz w:val="24"/>
        </w:rPr>
        <w:t>吴楠著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人与社会关系思想的历史性生成：青年马克思思想探析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本书出售、求购地址：https://www.jiaokey.com/book/detail/13695850.html</w:t>
      </w:r>
    </w:p>
    <w:p>
      <w:r>
        <w:t>更多相关图书推荐：https://www.jiaokey.com</w:t>
      </w:r>
    </w:p>
    <w:p>
      <w:r>
        <w:t>吴楠著 其他作品：https://www.jiaokey.com/tag/吴楠著.html</w:t>
      </w:r>
    </w:p>
    <w:p>
      <w:r>
        <w:t>中国社会科学文献出版社 出版图书：https://www.jiaokey.com/tag/中国社会科学文献出版社.html</w:t>
      </w:r>
    </w:p>
    <w:p>
      <w:r>
        <w:t>关键词搜索：https://www.jiaokey.com/tag/人与社会关系思想的历史性生成：青年马克思思想探析.html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