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自我实现  建立自我形象的成功点数</w:t>
      </w:r>
    </w:p>
    <w:p>
      <w:r>
        <w:rPr>
          <w:rFonts w:ascii="宋体" w:hAnsi="宋体" w:eastAsia="宋体"/>
          <w:sz w:val="24"/>
        </w:rPr>
        <w:t>DAVID A.GUSTAFSON著；钱嘉平译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自我实现  建立自我形象的成功点数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A.GUSTAFSON著；钱嘉平译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耶鲁国际文化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本书出售、求购地址：https://www.jiaokey.com/book/detail/13695292.html</w:t>
      </w:r>
    </w:p>
    <w:p>
      <w:r>
        <w:t>更多相关图书推荐：https://www.jiaokey.com</w:t>
      </w:r>
    </w:p>
    <w:p>
      <w:r>
        <w:t>DAVID A.GUSTAFSON著；钱嘉平译 其他作品：https://www.jiaokey.com/tag/DAVID A.GUSTAFSON著；钱嘉平译.html</w:t>
      </w:r>
    </w:p>
    <w:p>
      <w:r>
        <w:t>耶鲁国际文化 出版图书：https://www.jiaokey.com/tag/耶鲁国际文化.html</w:t>
      </w:r>
    </w:p>
    <w:p>
      <w:r>
        <w:t>关键词搜索：https://www.jiaokey.com/tag/自我实现  建立自我形象的成功点数.html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