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商务礼仪与职业形象</w:t>
      </w:r>
    </w:p>
    <w:p>
      <w:r>
        <w:rPr>
          <w:rFonts w:ascii="宋体" w:hAnsi="宋体" w:eastAsia="宋体"/>
          <w:sz w:val="24"/>
        </w:rPr>
        <w:t>严军主编；金鑫，李文琦副主编；卢秋萍，白珍，霍艳霞参编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商务礼仪与职业形象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严军主编；金鑫，李文琦副主编；卢秋萍，白珍，霍艳霞参编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本书出售、求购地址：https://www.jiaokey.com/book/detail/13694725.html</w:t>
      </w:r>
    </w:p>
    <w:p>
      <w:r>
        <w:t>更多相关图书推荐：https://www.jiaokey.com</w:t>
      </w:r>
    </w:p>
    <w:p>
      <w:r>
        <w:t>严军主编；金鑫，李文琦副主编；卢秋萍，白珍，霍艳霞参编 其他作品：https://www.jiaokey.com/tag/严军主编；金鑫，李文琦副主编；卢秋萍，白珍，霍艳霞参编.html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关键词搜索：https://www.jiaokey.com/tag/商务礼仪与职业形象.html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