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我们如何学习  全视角学习理论</w:t>
      </w:r>
    </w:p>
    <w:p>
      <w:r>
        <w:rPr>
          <w:rFonts w:ascii="宋体" w:hAnsi="宋体" w:eastAsia="宋体"/>
          <w:sz w:val="24"/>
        </w:rPr>
        <w:t>（丹）克努兹·伊列雷斯编著；孙玫璐译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我们如何学习  全视角学习理论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（丹）克努兹·伊列雷斯编著；孙玫璐译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本书出售、求购地址：https://www.jiaokey.com/book/detail/13694341.html</w:t>
      </w:r>
    </w:p>
    <w:p>
      <w:r>
        <w:t>更多相关图书推荐：https://www.jiaokey.com</w:t>
      </w:r>
    </w:p>
    <w:p>
      <w:r>
        <w:t>（丹）克努兹·伊列雷斯编著；孙玫璐译 其他作品：https://www.jiaokey.com/tag/（丹）克努兹·伊列雷斯编著；孙玫璐译.html</w:t>
      </w:r>
    </w:p>
    <w:p>
      <w:r>
        <w:t>教育出版社 出版图书：https://www.jiaokey.com/tag/教育出版社.html</w:t>
      </w:r>
    </w:p>
    <w:p>
      <w:r>
        <w:t>关键词搜索：https://www.jiaokey.com/tag/我们如何学习  全视角学习理论.html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