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企业管理利器  中小企业预算编制实务</w:t>
      </w:r>
    </w:p>
    <w:p>
      <w:r>
        <w:rPr>
          <w:rFonts w:ascii="宋体" w:hAnsi="宋体" w:eastAsia="宋体"/>
          <w:sz w:val="24"/>
        </w:rPr>
        <w:t>黄美玲著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企业管理利器  中小企业预算编制实务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财团法人台湾金融研究院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本书出售、求购地址：https://www.jiaokey.com/book/detail/13694158.html</w:t>
      </w:r>
    </w:p>
    <w:p>
      <w:r>
        <w:t>更多相关图书推荐：https://www.jiaokey.com</w:t>
      </w:r>
    </w:p>
    <w:p>
      <w:r>
        <w:t>黄美玲著 其他作品：https://www.jiaokey.com/tag/黄美玲著.html</w:t>
      </w:r>
    </w:p>
    <w:p>
      <w:r>
        <w:t>财团法人台湾金融研究院 出版图书：https://www.jiaokey.com/tag/财团法人台湾金融研究院.html</w:t>
      </w:r>
    </w:p>
    <w:p>
      <w:r>
        <w:t>关键词搜索：https://www.jiaokey.com/tag/企业管理利器  中小企业预算编制实务.html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