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个人消费贷款审判与风险防范</w:t>
      </w:r>
    </w:p>
    <w:p>
      <w:r>
        <w:rPr>
          <w:rFonts w:ascii="宋体" w:hAnsi="宋体" w:eastAsia="宋体"/>
          <w:sz w:val="24"/>
        </w:rPr>
        <w:t>北京市西城区人民法院民三庭编；安凤德编委会主任；刘草生编委会副主编；王珊执行主编；张毅，陈睿，徐楠编委会成员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个人消费贷款审判与风险防范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北京市西城区人民法院民三庭编；安凤德编委会主任；刘草生编委会副主编；王珊执行主编；张毅，陈睿，徐楠编委会成员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本书出售、求购地址：https://www.jiaokey.com/book/detail/13693388.html</w:t>
      </w:r>
    </w:p>
    <w:p>
      <w:r>
        <w:t>更多相关图书推荐：https://www.jiaokey.com</w:t>
      </w:r>
    </w:p>
    <w:p>
      <w:r>
        <w:t>北京市西城区人民法院民三庭编；安凤德编委会主任；刘草生编委会副主编；王珊执行主编；张毅，陈睿，徐楠编委会成员 其他作品：https://www.jiaokey.com/tag/北京市西城区人民法院民三庭编；安凤德编委会主任；刘草生编委会副主编；王珊执行主编；张毅，陈睿，徐楠编委会成员.html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关键词搜索：https://www.jiaokey.com/tag/个人消费贷款审判与风险防范.html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